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36F7A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80795" cy="1192530"/>
            <wp:effectExtent l="0" t="0" r="14605" b="762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EB38D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AEC42">
      <w:pPr>
        <w:pStyle w:val="2"/>
        <w:spacing w:before="282" w:line="194" w:lineRule="auto"/>
        <w:ind w:left="551"/>
        <w:rPr>
          <w:sz w:val="27"/>
          <w:szCs w:val="27"/>
        </w:rPr>
      </w:pPr>
      <w:r>
        <w:rPr>
          <w:b/>
          <w:bCs/>
          <w:sz w:val="27"/>
          <w:szCs w:val="27"/>
        </w:rPr>
        <w:t>GNAQ</w:t>
      </w:r>
      <w:r>
        <w:rPr>
          <w:b/>
          <w:bCs/>
          <w:spacing w:val="24"/>
          <w:sz w:val="27"/>
          <w:szCs w:val="27"/>
        </w:rPr>
        <w:t xml:space="preserve"> </w:t>
      </w:r>
      <w:r>
        <w:rPr>
          <w:b/>
          <w:bCs/>
          <w:spacing w:val="4"/>
          <w:sz w:val="27"/>
          <w:szCs w:val="27"/>
        </w:rPr>
        <w:t>(Q209P)</w:t>
      </w:r>
    </w:p>
    <w:p w14:paraId="470FA3C3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26329</w:t>
      </w:r>
    </w:p>
    <w:p w14:paraId="41A2C9A8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GNAQ, CMC1, G-ALPHA-q, GAQ,</w:t>
      </w:r>
      <w:r>
        <w:rPr>
          <w:spacing w:val="14"/>
        </w:rPr>
        <w:t xml:space="preserve"> </w:t>
      </w:r>
      <w:r>
        <w:rPr>
          <w:spacing w:val="-1"/>
        </w:rPr>
        <w:t>SWS</w:t>
      </w:r>
    </w:p>
    <w:p w14:paraId="4F770C49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Anti-GNAQ (Q209P) Mouse M</w:t>
      </w:r>
      <w:r>
        <w:rPr>
          <w:spacing w:val="-1"/>
        </w:rPr>
        <w:t>onoclonal Antibody</w:t>
      </w:r>
    </w:p>
    <w:p w14:paraId="2F48BD7C">
      <w:pPr>
        <w:spacing w:before="150"/>
      </w:pPr>
    </w:p>
    <w:p w14:paraId="5B89F985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6394996F">
      <w:pPr>
        <w:pStyle w:val="2"/>
        <w:spacing w:before="40" w:line="299" w:lineRule="auto"/>
        <w:ind w:left="547" w:right="360" w:hanging="3"/>
      </w:pPr>
      <w:r>
        <w:rPr>
          <w:b/>
          <w:bCs/>
        </w:rPr>
        <w:t xml:space="preserve">Background: </w:t>
      </w:r>
      <w:r>
        <w:t xml:space="preserve">GNAQ is a protein </w:t>
      </w:r>
      <w:r>
        <w:rPr>
          <w:spacing w:val="-1"/>
        </w:rPr>
        <w:t>that in humans</w:t>
      </w:r>
      <w:r>
        <w:t xml:space="preserve">  </w:t>
      </w:r>
      <w:r>
        <w:rPr>
          <w:spacing w:val="-1"/>
        </w:rPr>
        <w:t>encoded by the GNAQ gene. The</w:t>
      </w:r>
      <w:r>
        <w:rPr>
          <w:spacing w:val="25"/>
        </w:rPr>
        <w:t xml:space="preserve"> </w:t>
      </w:r>
      <w:r>
        <w:rPr>
          <w:spacing w:val="-1"/>
        </w:rPr>
        <w:t>GNAQ protein,</w:t>
      </w:r>
      <w:r>
        <w:t xml:space="preserve"> </w:t>
      </w:r>
      <w:r>
        <w:rPr>
          <w:spacing w:val="-1"/>
        </w:rPr>
        <w:t>an alpha</w:t>
      </w:r>
      <w:r>
        <w:rPr>
          <w:spacing w:val="19"/>
        </w:rPr>
        <w:t xml:space="preserve"> </w:t>
      </w:r>
      <w:r>
        <w:rPr>
          <w:spacing w:val="-1"/>
        </w:rPr>
        <w:t>subunit in the Gq class,</w:t>
      </w:r>
      <w:r>
        <w:rPr>
          <w:spacing w:val="8"/>
        </w:rPr>
        <w:t xml:space="preserve"> </w:t>
      </w:r>
      <w:r>
        <w:rPr>
          <w:spacing w:val="-1"/>
        </w:rPr>
        <w:t>couples</w:t>
      </w:r>
      <w:r>
        <w:rPr>
          <w:spacing w:val="12"/>
        </w:rPr>
        <w:t xml:space="preserve"> </w:t>
      </w:r>
      <w:r>
        <w:rPr>
          <w:spacing w:val="-1"/>
        </w:rPr>
        <w:t>a</w:t>
      </w:r>
    </w:p>
    <w:p w14:paraId="2B43B1FE">
      <w:pPr>
        <w:pStyle w:val="2"/>
        <w:spacing w:before="32" w:line="193" w:lineRule="auto"/>
        <w:ind w:left="550"/>
      </w:pPr>
      <w:r>
        <w:t>seven-transmembrane domain</w:t>
      </w:r>
      <w:r>
        <w:rPr>
          <w:spacing w:val="-1"/>
        </w:rPr>
        <w:t xml:space="preserve"> receptor to</w:t>
      </w:r>
    </w:p>
    <w:p w14:paraId="10D104CC">
      <w:pPr>
        <w:pStyle w:val="2"/>
        <w:spacing w:before="117" w:line="300" w:lineRule="auto"/>
        <w:ind w:left="539" w:right="436" w:firstLine="8"/>
      </w:pPr>
      <w:r>
        <w:t>activation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phospholipase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-</w:t>
      </w:r>
      <w:r>
        <w:t>beta</w:t>
      </w:r>
      <w:r>
        <w:rPr>
          <w:spacing w:val="1"/>
        </w:rPr>
        <w:t xml:space="preserve">. </w:t>
      </w:r>
      <w:r>
        <w:t>Mutations</w:t>
      </w:r>
      <w:r>
        <w:rPr>
          <w:spacing w:val="1"/>
        </w:rPr>
        <w:t xml:space="preserve"> </w:t>
      </w:r>
      <w:r>
        <w:t xml:space="preserve">at this locus have been associated </w:t>
      </w:r>
      <w:r>
        <w:rPr>
          <w:spacing w:val="-1"/>
        </w:rPr>
        <w:t>with problems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t xml:space="preserve"> platelet activation and</w:t>
      </w:r>
      <w:r>
        <w:rPr>
          <w:spacing w:val="8"/>
        </w:rPr>
        <w:t xml:space="preserve"> </w:t>
      </w:r>
      <w:r>
        <w:rPr>
          <w:spacing w:val="-1"/>
        </w:rPr>
        <w:t>aggregation.</w:t>
      </w:r>
    </w:p>
    <w:p w14:paraId="069C6F84">
      <w:pPr>
        <w:pStyle w:val="2"/>
        <w:spacing w:before="33" w:line="299" w:lineRule="auto"/>
        <w:ind w:left="541" w:right="780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1"/>
        </w:rPr>
        <w:t xml:space="preserve">    </w:t>
      </w:r>
      <w:r>
        <w:t>internal region of GNAQ which includ</w:t>
      </w:r>
      <w:r>
        <w:rPr>
          <w:spacing w:val="-1"/>
        </w:rPr>
        <w:t>es the</w:t>
      </w:r>
      <w:r>
        <w:t xml:space="preserve"> </w:t>
      </w:r>
      <w:r>
        <w:rPr>
          <w:spacing w:val="-1"/>
        </w:rPr>
        <w:t>mutation of Q209P, human origin.</w:t>
      </w:r>
    </w:p>
    <w:p w14:paraId="7694C101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D31E00F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6F469D9D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48CBC44E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5627C7C5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E02E62A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C507621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D4443BC">
      <w:pPr>
        <w:pStyle w:val="2"/>
        <w:spacing w:before="117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7662121F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4189C975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778674AF">
      <w:pPr>
        <w:pStyle w:val="2"/>
        <w:spacing w:before="108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0861F02C">
      <w:pPr>
        <w:pStyle w:val="2"/>
        <w:spacing w:before="35" w:line="294" w:lineRule="auto"/>
        <w:ind w:left="539" w:right="504" w:firstLine="11"/>
      </w:pPr>
      <w:r>
        <w:rPr>
          <w:b/>
          <w:bCs/>
        </w:rPr>
        <w:t xml:space="preserve">Species Reactivity: </w:t>
      </w:r>
      <w:r>
        <w:t>Recogniz</w:t>
      </w:r>
      <w:r>
        <w:rPr>
          <w:spacing w:val="-1"/>
        </w:rPr>
        <w:t>es Q209P</w:t>
      </w:r>
      <w:r>
        <w:rPr>
          <w:spacing w:val="-10"/>
        </w:rPr>
        <w:t xml:space="preserve"> </w:t>
      </w:r>
      <w:r>
        <w:rPr>
          <w:spacing w:val="-1"/>
        </w:rPr>
        <w:t>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GNAQ</w:t>
      </w:r>
      <w:r>
        <w:rPr>
          <w:spacing w:val="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2"/>
        </w:rPr>
        <w:t>.</w:t>
      </w:r>
    </w:p>
    <w:p w14:paraId="08061121">
      <w:pPr>
        <w:pStyle w:val="2"/>
        <w:spacing w:before="32" w:line="294" w:lineRule="auto"/>
        <w:ind w:left="548" w:right="86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456ADB33">
      <w:pPr>
        <w:spacing w:line="33" w:lineRule="exact"/>
      </w:pPr>
    </w:p>
    <w:p w14:paraId="2FDF0F5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513802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30013680">
      <w:pPr>
        <w:spacing w:line="276" w:lineRule="auto"/>
        <w:rPr>
          <w:rFonts w:ascii="Arial"/>
          <w:sz w:val="21"/>
        </w:rPr>
      </w:pPr>
    </w:p>
    <w:p w14:paraId="4DEF6C6B">
      <w:pPr>
        <w:spacing w:before="1" w:line="3550" w:lineRule="exact"/>
        <w:ind w:firstLine="762"/>
      </w:pPr>
      <w:r>
        <w:rPr>
          <w:position w:val="-70"/>
        </w:rPr>
        <w:drawing>
          <wp:inline distT="0" distB="0" distL="0" distR="0">
            <wp:extent cx="1619250" cy="22536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688" cy="225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D45C">
      <w:pPr>
        <w:spacing w:line="286" w:lineRule="auto"/>
        <w:rPr>
          <w:rFonts w:ascii="Arial"/>
          <w:sz w:val="21"/>
        </w:rPr>
      </w:pPr>
    </w:p>
    <w:p w14:paraId="42008394">
      <w:pPr>
        <w:pStyle w:val="2"/>
        <w:spacing w:before="61" w:line="293" w:lineRule="auto"/>
        <w:ind w:left="8" w:right="869" w:hanging="6"/>
      </w:pPr>
      <w:r>
        <w:rPr>
          <w:b/>
          <w:bCs/>
        </w:rPr>
        <w:t xml:space="preserve">Western blot analysis of </w:t>
      </w:r>
      <w:r>
        <w:rPr>
          <w:b/>
          <w:bCs/>
          <w:spacing w:val="-1"/>
        </w:rPr>
        <w:t>recombinant GNAQ</w:t>
      </w:r>
      <w:r>
        <w:rPr>
          <w:b/>
          <w:bCs/>
        </w:rPr>
        <w:t xml:space="preserve"> (Q209P) and wildtype pr</w:t>
      </w:r>
      <w:r>
        <w:rPr>
          <w:b/>
          <w:bCs/>
          <w:spacing w:val="-1"/>
        </w:rPr>
        <w:t xml:space="preserve">oteins. </w:t>
      </w:r>
      <w:r>
        <w:rPr>
          <w:spacing w:val="-1"/>
        </w:rPr>
        <w:t>Purified</w:t>
      </w:r>
    </w:p>
    <w:p w14:paraId="5A285E2E">
      <w:pPr>
        <w:pStyle w:val="2"/>
        <w:spacing w:before="32" w:line="294" w:lineRule="auto"/>
        <w:ind w:left="6" w:right="884" w:hanging="3"/>
      </w:pPr>
      <w:r>
        <w:t>His-tagged GNAQ (Q20</w:t>
      </w:r>
      <w:r>
        <w:rPr>
          <w:spacing w:val="-1"/>
        </w:rPr>
        <w:t>9P) protein</w:t>
      </w:r>
      <w:r>
        <w:rPr>
          <w:spacing w:val="14"/>
        </w:rPr>
        <w:t xml:space="preserve"> </w:t>
      </w:r>
      <w:r>
        <w:rPr>
          <w:spacing w:val="-1"/>
        </w:rPr>
        <w:t>(lane2) and</w:t>
      </w:r>
      <w:r>
        <w:t xml:space="preserve"> corresponding wild-type protein (la</w:t>
      </w:r>
      <w:r>
        <w:rPr>
          <w:spacing w:val="-1"/>
        </w:rPr>
        <w:t>ne1) were</w:t>
      </w:r>
    </w:p>
    <w:p w14:paraId="28329A0B">
      <w:pPr>
        <w:pStyle w:val="2"/>
        <w:spacing w:before="32" w:line="294" w:lineRule="auto"/>
        <w:ind w:left="6" w:right="1017" w:hanging="7"/>
      </w:pPr>
      <w:r>
        <w:t>blotted with anti-GNAQ (Q209P) monocl</w:t>
      </w:r>
      <w:r>
        <w:rPr>
          <w:spacing w:val="-1"/>
        </w:rPr>
        <w:t>onal</w:t>
      </w:r>
      <w:r>
        <w:t xml:space="preserve"> antibody (Cat. #26329).</w:t>
      </w:r>
    </w:p>
    <w:p w14:paraId="29B024BA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165F66A1">
      <w:pPr>
        <w:spacing w:line="266" w:lineRule="auto"/>
        <w:rPr>
          <w:rFonts w:ascii="Arial"/>
          <w:sz w:val="21"/>
        </w:rPr>
      </w:pPr>
    </w:p>
    <w:p w14:paraId="79E87461">
      <w:pPr>
        <w:spacing w:line="266" w:lineRule="auto"/>
        <w:rPr>
          <w:rFonts w:ascii="Arial"/>
          <w:sz w:val="21"/>
        </w:rPr>
      </w:pPr>
    </w:p>
    <w:p w14:paraId="54ACCEB9">
      <w:pPr>
        <w:spacing w:line="266" w:lineRule="auto"/>
        <w:rPr>
          <w:rFonts w:ascii="Arial"/>
          <w:sz w:val="21"/>
        </w:rPr>
      </w:pPr>
    </w:p>
    <w:p w14:paraId="23B7B929">
      <w:pPr>
        <w:spacing w:line="266" w:lineRule="auto"/>
        <w:rPr>
          <w:rFonts w:ascii="Arial"/>
          <w:sz w:val="21"/>
        </w:rPr>
      </w:pPr>
    </w:p>
    <w:p w14:paraId="16AEC6BE">
      <w:pPr>
        <w:spacing w:line="266" w:lineRule="auto"/>
        <w:rPr>
          <w:rFonts w:ascii="Arial"/>
          <w:sz w:val="21"/>
        </w:rPr>
      </w:pPr>
    </w:p>
    <w:p w14:paraId="36D3EA0B">
      <w:pPr>
        <w:spacing w:line="266" w:lineRule="auto"/>
        <w:rPr>
          <w:rFonts w:ascii="Arial"/>
          <w:sz w:val="21"/>
        </w:rPr>
      </w:pPr>
    </w:p>
    <w:p w14:paraId="2663338B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18A51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1EBF76A7">
      <w:pPr>
        <w:spacing w:line="150" w:lineRule="exact"/>
      </w:pPr>
    </w:p>
    <w:p w14:paraId="602205EE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77DC5800">
      <w:pPr>
        <w:pStyle w:val="2"/>
        <w:spacing w:before="48" w:line="252" w:lineRule="auto"/>
        <w:ind w:left="225" w:right="1498" w:hanging="225"/>
      </w:pPr>
    </w:p>
    <w:p w14:paraId="0F817280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727CB85F">
      <w:pPr>
        <w:spacing w:line="1305" w:lineRule="exact"/>
        <w:ind w:firstLine="540"/>
      </w:pPr>
    </w:p>
    <w:p w14:paraId="744F9CB1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46FE0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13DFBE00">
      <w:pPr>
        <w:spacing w:before="162" w:line="4495" w:lineRule="exact"/>
        <w:ind w:firstLine="759"/>
      </w:pPr>
      <w:r>
        <w:rPr>
          <w:position w:val="-89"/>
        </w:rPr>
        <w:drawing>
          <wp:inline distT="0" distB="0" distL="0" distR="0">
            <wp:extent cx="5158740" cy="28543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9054" cy="285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A437">
      <w:pPr>
        <w:pStyle w:val="2"/>
        <w:spacing w:before="145" w:line="189" w:lineRule="auto"/>
        <w:ind w:left="544"/>
      </w:pPr>
      <w:r>
        <w:rPr>
          <w:b/>
          <w:bCs/>
        </w:rPr>
        <w:t xml:space="preserve">Immunofluorescence of cells expressing GNAQ proteins </w:t>
      </w:r>
      <w:r>
        <w:rPr>
          <w:b/>
          <w:bCs/>
          <w:spacing w:val="-1"/>
        </w:rPr>
        <w:t>with anti-GNAQ (Q209P)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1"/>
        </w:rPr>
        <w:t>antibody.</w:t>
      </w:r>
    </w:p>
    <w:p w14:paraId="7CBEE99D">
      <w:pPr>
        <w:pStyle w:val="2"/>
        <w:spacing w:before="118" w:line="294" w:lineRule="auto"/>
        <w:ind w:left="548" w:right="765" w:hanging="5"/>
      </w:pPr>
      <w:r>
        <w:t>HEK293T cells were transfected with pCDNA3-GFP-GNAQ (Q209P) plasmid , pCDNA</w:t>
      </w:r>
      <w:r>
        <w:rPr>
          <w:spacing w:val="-1"/>
        </w:rPr>
        <w:t>3-GFP-GNAQ</w:t>
      </w:r>
      <w:r>
        <w:t xml:space="preserve"> (WT) plasmid, pCDNA3-GFP-GNAQ (Q209L) plasmid or pCDNA3-GFP-GNAQ (Q209</w:t>
      </w:r>
      <w:r>
        <w:rPr>
          <w:spacing w:val="-1"/>
        </w:rPr>
        <w:t>R) plasmid,</w:t>
      </w:r>
    </w:p>
    <w:p w14:paraId="556ADC02">
      <w:pPr>
        <w:pStyle w:val="2"/>
        <w:spacing w:before="32" w:line="193" w:lineRule="auto"/>
        <w:ind w:left="542"/>
      </w:pPr>
      <w:r>
        <w:t>then fixed and stained with anti-GNAQ</w:t>
      </w:r>
      <w:r>
        <w:rPr>
          <w:spacing w:val="10"/>
        </w:rPr>
        <w:t xml:space="preserve"> </w:t>
      </w:r>
      <w:r>
        <w:t>(Q209P) monoclonal</w:t>
      </w:r>
      <w:r>
        <w:rPr>
          <w:spacing w:val="7"/>
        </w:rPr>
        <w:t xml:space="preserve"> </w:t>
      </w:r>
      <w:r>
        <w:t>antib</w:t>
      </w:r>
      <w:r>
        <w:rPr>
          <w:spacing w:val="-1"/>
        </w:rPr>
        <w:t>ody</w:t>
      </w:r>
      <w:r>
        <w:rPr>
          <w:spacing w:val="9"/>
        </w:rPr>
        <w:t xml:space="preserve"> </w:t>
      </w:r>
      <w:r>
        <w:rPr>
          <w:spacing w:val="-1"/>
        </w:rPr>
        <w:t>(Cat. #26329).</w:t>
      </w:r>
    </w:p>
    <w:p w14:paraId="47295B76">
      <w:pPr>
        <w:spacing w:line="241" w:lineRule="auto"/>
        <w:rPr>
          <w:rFonts w:ascii="Arial"/>
          <w:sz w:val="21"/>
        </w:rPr>
      </w:pPr>
    </w:p>
    <w:p w14:paraId="26322B70">
      <w:pPr>
        <w:spacing w:line="241" w:lineRule="auto"/>
        <w:rPr>
          <w:rFonts w:ascii="Arial"/>
          <w:sz w:val="21"/>
        </w:rPr>
      </w:pPr>
    </w:p>
    <w:p w14:paraId="52986B46">
      <w:pPr>
        <w:spacing w:line="241" w:lineRule="auto"/>
        <w:rPr>
          <w:rFonts w:ascii="Arial"/>
          <w:sz w:val="21"/>
        </w:rPr>
      </w:pPr>
    </w:p>
    <w:p w14:paraId="7BCF9303">
      <w:pPr>
        <w:spacing w:line="241" w:lineRule="auto"/>
        <w:rPr>
          <w:rFonts w:ascii="Arial"/>
          <w:sz w:val="21"/>
        </w:rPr>
      </w:pPr>
    </w:p>
    <w:p w14:paraId="19D28519">
      <w:pPr>
        <w:spacing w:line="241" w:lineRule="auto"/>
        <w:rPr>
          <w:rFonts w:ascii="Arial"/>
          <w:sz w:val="21"/>
        </w:rPr>
      </w:pPr>
    </w:p>
    <w:p w14:paraId="3D305F5B">
      <w:pPr>
        <w:spacing w:line="241" w:lineRule="auto"/>
        <w:rPr>
          <w:rFonts w:ascii="Arial"/>
          <w:sz w:val="21"/>
        </w:rPr>
      </w:pPr>
    </w:p>
    <w:p w14:paraId="7BA55EE6">
      <w:pPr>
        <w:spacing w:line="241" w:lineRule="auto"/>
        <w:rPr>
          <w:rFonts w:ascii="Arial"/>
          <w:sz w:val="21"/>
        </w:rPr>
      </w:pPr>
    </w:p>
    <w:p w14:paraId="4BCA2298">
      <w:pPr>
        <w:spacing w:line="241" w:lineRule="auto"/>
        <w:rPr>
          <w:rFonts w:ascii="Arial"/>
          <w:sz w:val="21"/>
        </w:rPr>
      </w:pPr>
    </w:p>
    <w:p w14:paraId="532EEC09">
      <w:pPr>
        <w:spacing w:line="241" w:lineRule="auto"/>
        <w:rPr>
          <w:rFonts w:ascii="Arial"/>
          <w:sz w:val="21"/>
        </w:rPr>
      </w:pPr>
    </w:p>
    <w:p w14:paraId="3937DA52">
      <w:pPr>
        <w:spacing w:line="241" w:lineRule="auto"/>
        <w:rPr>
          <w:rFonts w:ascii="Arial"/>
          <w:sz w:val="21"/>
        </w:rPr>
      </w:pPr>
    </w:p>
    <w:p w14:paraId="6DB6F234">
      <w:pPr>
        <w:spacing w:line="241" w:lineRule="auto"/>
        <w:rPr>
          <w:rFonts w:ascii="Arial"/>
          <w:sz w:val="21"/>
        </w:rPr>
      </w:pPr>
    </w:p>
    <w:p w14:paraId="0AC4F90E">
      <w:pPr>
        <w:spacing w:line="241" w:lineRule="auto"/>
        <w:rPr>
          <w:rFonts w:ascii="Arial"/>
          <w:sz w:val="21"/>
        </w:rPr>
      </w:pPr>
    </w:p>
    <w:p w14:paraId="65E427C8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5CD6DFA1">
      <w:pPr>
        <w:spacing w:line="242" w:lineRule="auto"/>
        <w:rPr>
          <w:rFonts w:ascii="Arial"/>
          <w:sz w:val="21"/>
        </w:rPr>
      </w:pPr>
    </w:p>
    <w:p w14:paraId="6BADDD07">
      <w:pPr>
        <w:spacing w:line="242" w:lineRule="auto"/>
        <w:rPr>
          <w:rFonts w:ascii="Arial"/>
          <w:sz w:val="21"/>
        </w:rPr>
      </w:pPr>
    </w:p>
    <w:p w14:paraId="454D2BBB">
      <w:pPr>
        <w:spacing w:line="242" w:lineRule="auto"/>
        <w:rPr>
          <w:rFonts w:ascii="Arial"/>
          <w:sz w:val="21"/>
        </w:rPr>
      </w:pPr>
    </w:p>
    <w:p w14:paraId="15E97487">
      <w:pPr>
        <w:spacing w:line="242" w:lineRule="auto"/>
        <w:rPr>
          <w:rFonts w:ascii="Arial"/>
          <w:sz w:val="21"/>
        </w:rPr>
      </w:pPr>
    </w:p>
    <w:p w14:paraId="70B18CC2">
      <w:pPr>
        <w:spacing w:line="242" w:lineRule="auto"/>
        <w:rPr>
          <w:rFonts w:ascii="Arial"/>
          <w:sz w:val="21"/>
        </w:rPr>
      </w:pPr>
    </w:p>
    <w:p w14:paraId="69C537FC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6ED2D80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4E018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246</Words>
  <Characters>1594</Characters>
  <TotalTime>1</TotalTime>
  <ScaleCrop>false</ScaleCrop>
  <LinksUpToDate>false</LinksUpToDate>
  <CharactersWithSpaces>1835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2016-07-26T09:09:00Z</dcterms:created>
  <dc:creator>Limin Wang</dc:creator>
  <cp:lastModifiedBy>周亿福</cp:lastModifiedBy>
  <dcterms:modified xsi:type="dcterms:W3CDTF">2025-08-14T07:56:51Z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FF18CB8722474C65B7047698BCD268B1_12</vt:lpwstr>
  </property>
</Properties>
</file>